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C06C" w14:textId="1B6C3D5E" w:rsidR="00666EAA" w:rsidRDefault="00666EAA" w:rsidP="00666EAA">
      <w:pPr>
        <w:rPr>
          <w:sz w:val="24"/>
        </w:rPr>
      </w:pPr>
      <w:r>
        <w:rPr>
          <w:rFonts w:hint="eastAsia"/>
          <w:sz w:val="24"/>
        </w:rPr>
        <w:t>令和●年（●）第●●号　●●請求事件</w:t>
      </w:r>
    </w:p>
    <w:p w14:paraId="0491E8A0" w14:textId="39E5934C" w:rsidR="00666EAA" w:rsidRDefault="00666EAA" w:rsidP="00666EAA">
      <w:pPr>
        <w:rPr>
          <w:sz w:val="24"/>
        </w:rPr>
      </w:pPr>
      <w:r>
        <w:rPr>
          <w:rFonts w:hint="eastAsia"/>
          <w:sz w:val="24"/>
        </w:rPr>
        <w:t xml:space="preserve">原　　告　　●　●　●　●　</w:t>
      </w:r>
    </w:p>
    <w:p w14:paraId="42F48A06" w14:textId="4A5DC47D" w:rsidR="00666EAA" w:rsidRPr="00666EAA" w:rsidRDefault="00666EAA" w:rsidP="00666EAA">
      <w:pPr>
        <w:rPr>
          <w:sz w:val="24"/>
        </w:rPr>
      </w:pPr>
      <w:r>
        <w:rPr>
          <w:rFonts w:hint="eastAsia"/>
          <w:sz w:val="24"/>
        </w:rPr>
        <w:t>被　　告　　●　●　●　●</w:t>
      </w:r>
    </w:p>
    <w:p w14:paraId="09FD4CD0" w14:textId="7AA61700" w:rsidR="00666EAA" w:rsidRPr="000D615F" w:rsidRDefault="00D94619" w:rsidP="00666EAA">
      <w:pPr>
        <w:jc w:val="center"/>
        <w:rPr>
          <w:sz w:val="36"/>
          <w:szCs w:val="36"/>
        </w:rPr>
      </w:pPr>
      <w:r>
        <w:rPr>
          <w:rFonts w:hint="eastAsia"/>
          <w:sz w:val="36"/>
          <w:szCs w:val="36"/>
        </w:rPr>
        <w:t>第１準備書面</w:t>
      </w:r>
    </w:p>
    <w:p w14:paraId="557888C0" w14:textId="609ADC40" w:rsidR="00666EAA" w:rsidRPr="000D615F" w:rsidRDefault="00666EAA" w:rsidP="00666EAA">
      <w:pPr>
        <w:pStyle w:val="aa"/>
        <w:spacing w:beforeLines="50" w:before="252"/>
        <w:jc w:val="right"/>
      </w:pPr>
      <w:r>
        <w:rPr>
          <w:rFonts w:hint="eastAsia"/>
          <w:lang w:eastAsia="ja-JP"/>
        </w:rPr>
        <w:t>令和●</w:t>
      </w:r>
      <w:r w:rsidRPr="000D615F">
        <w:rPr>
          <w:rFonts w:hint="eastAsia"/>
        </w:rPr>
        <w:t>年</w:t>
      </w:r>
      <w:r>
        <w:rPr>
          <w:rFonts w:hint="eastAsia"/>
          <w:lang w:eastAsia="ja-JP"/>
        </w:rPr>
        <w:t>●</w:t>
      </w:r>
      <w:r w:rsidRPr="000D615F">
        <w:rPr>
          <w:rFonts w:hint="eastAsia"/>
        </w:rPr>
        <w:t>月</w:t>
      </w:r>
      <w:r>
        <w:rPr>
          <w:rFonts w:hint="eastAsia"/>
          <w:lang w:eastAsia="ja-JP"/>
        </w:rPr>
        <w:t>●</w:t>
      </w:r>
      <w:r w:rsidRPr="000D615F">
        <w:rPr>
          <w:rFonts w:hint="eastAsia"/>
        </w:rPr>
        <w:t>日</w:t>
      </w:r>
    </w:p>
    <w:p w14:paraId="0C2308A4" w14:textId="5D9BC1FD" w:rsidR="00666EAA" w:rsidRPr="004053BF" w:rsidRDefault="00666EAA" w:rsidP="00666EAA">
      <w:pPr>
        <w:rPr>
          <w:sz w:val="24"/>
          <w:lang w:val="fr-FR"/>
        </w:rPr>
      </w:pPr>
      <w:r w:rsidRPr="00666EAA">
        <w:rPr>
          <w:rFonts w:hint="eastAsia"/>
          <w:sz w:val="24"/>
          <w:lang w:val="fr-FR"/>
        </w:rPr>
        <w:t>●●</w:t>
      </w:r>
      <w:r>
        <w:rPr>
          <w:rFonts w:hint="eastAsia"/>
          <w:sz w:val="24"/>
        </w:rPr>
        <w:t>地方裁判所第</w:t>
      </w:r>
      <w:r w:rsidRPr="00666EAA">
        <w:rPr>
          <w:rFonts w:hint="eastAsia"/>
          <w:sz w:val="24"/>
          <w:lang w:val="fr-FR"/>
        </w:rPr>
        <w:t>●</w:t>
      </w:r>
      <w:r>
        <w:rPr>
          <w:rFonts w:hint="eastAsia"/>
          <w:sz w:val="24"/>
        </w:rPr>
        <w:t>民事部</w:t>
      </w:r>
      <w:r w:rsidRPr="000D615F">
        <w:rPr>
          <w:rFonts w:hint="eastAsia"/>
          <w:sz w:val="24"/>
        </w:rPr>
        <w:t xml:space="preserve">　御中</w:t>
      </w:r>
    </w:p>
    <w:p w14:paraId="370F3BB8" w14:textId="77777777" w:rsidR="00666EAA" w:rsidRPr="00666EAA" w:rsidRDefault="00666EAA" w:rsidP="00666EAA">
      <w:pPr>
        <w:rPr>
          <w:sz w:val="24"/>
          <w:lang w:val="fr-FR"/>
        </w:rPr>
      </w:pPr>
    </w:p>
    <w:p w14:paraId="5E72C7E6" w14:textId="21EE65C7" w:rsidR="00666EAA" w:rsidRPr="008F0FCA" w:rsidRDefault="00D94619" w:rsidP="00666EAA">
      <w:pPr>
        <w:ind w:firstLineChars="1600" w:firstLine="3698"/>
        <w:jc w:val="left"/>
        <w:rPr>
          <w:sz w:val="24"/>
          <w:lang w:val="fr-FR"/>
        </w:rPr>
      </w:pPr>
      <w:r>
        <w:rPr>
          <w:rFonts w:hint="eastAsia"/>
          <w:sz w:val="24"/>
          <w:lang w:val="fr-FR"/>
        </w:rPr>
        <w:t>原　　　　　告</w:t>
      </w:r>
      <w:r w:rsidR="00666EAA">
        <w:rPr>
          <w:rFonts w:hint="eastAsia"/>
          <w:sz w:val="24"/>
          <w:lang w:val="fr-FR"/>
        </w:rPr>
        <w:t xml:space="preserve">　　　●　　●　　●　　●</w:t>
      </w:r>
    </w:p>
    <w:p w14:paraId="6359D3C2" w14:textId="77777777" w:rsidR="00666EAA" w:rsidRDefault="00666EAA" w:rsidP="00666EAA">
      <w:pPr>
        <w:rPr>
          <w:rFonts w:ascii="ＭＳ 明朝" w:hAnsi="ＭＳ 明朝" w:cs="ＭＳ 明朝"/>
          <w:sz w:val="24"/>
          <w:szCs w:val="24"/>
        </w:rPr>
      </w:pPr>
    </w:p>
    <w:p w14:paraId="4A38684E" w14:textId="48CE9072" w:rsidR="00D94619" w:rsidRDefault="00D94619" w:rsidP="00666EAA">
      <w:pPr>
        <w:rPr>
          <w:rFonts w:ascii="ＭＳ 明朝" w:hAnsi="ＭＳ 明朝" w:cs="ＭＳ 明朝"/>
          <w:sz w:val="24"/>
          <w:szCs w:val="24"/>
        </w:rPr>
      </w:pPr>
      <w:r>
        <w:rPr>
          <w:rFonts w:ascii="ＭＳ 明朝" w:hAnsi="ＭＳ 明朝" w:cs="ＭＳ 明朝" w:hint="eastAsia"/>
          <w:sz w:val="24"/>
          <w:szCs w:val="24"/>
        </w:rPr>
        <w:t xml:space="preserve">　被告から提出された答弁書について、以下のとおり認否及び反論を行う。</w:t>
      </w:r>
    </w:p>
    <w:p w14:paraId="01E9870A" w14:textId="77777777" w:rsidR="00D94619" w:rsidRDefault="00D94619" w:rsidP="00666EAA">
      <w:pPr>
        <w:rPr>
          <w:rFonts w:ascii="ＭＳ 明朝" w:hAnsi="ＭＳ 明朝" w:cs="ＭＳ 明朝" w:hint="eastAsia"/>
          <w:sz w:val="24"/>
          <w:szCs w:val="24"/>
        </w:rPr>
      </w:pPr>
    </w:p>
    <w:p w14:paraId="09CB35CB" w14:textId="09207FD8" w:rsidR="00666EAA" w:rsidRPr="00973457" w:rsidRDefault="00CB0C25" w:rsidP="00666EAA">
      <w:pPr>
        <w:widowControl/>
        <w:jc w:val="center"/>
        <w:rPr>
          <w:rFonts w:ascii="ＭＳ ゴシック" w:hAnsi="ＭＳ ゴシック"/>
          <w:b/>
          <w:sz w:val="24"/>
        </w:rPr>
      </w:pPr>
      <w:r>
        <w:rPr>
          <w:rFonts w:ascii="ＭＳ ゴシック" w:hAnsi="ＭＳ ゴシック" w:hint="eastAsia"/>
          <w:b/>
          <w:sz w:val="24"/>
        </w:rPr>
        <w:t>被告の主張に対する認否</w:t>
      </w:r>
    </w:p>
    <w:p w14:paraId="7EE7974C" w14:textId="77777777" w:rsidR="003E69CB" w:rsidRPr="00443610" w:rsidRDefault="003E69CB" w:rsidP="003E69CB">
      <w:pPr>
        <w:rPr>
          <w:b/>
          <w:bCs/>
          <w:sz w:val="24"/>
        </w:rPr>
      </w:pPr>
      <w:r w:rsidRPr="00443610">
        <w:rPr>
          <w:rFonts w:hint="eastAsia"/>
          <w:b/>
          <w:bCs/>
          <w:sz w:val="24"/>
        </w:rPr>
        <w:t xml:space="preserve">第１　</w:t>
      </w:r>
      <w:r>
        <w:rPr>
          <w:rFonts w:hint="eastAsia"/>
          <w:b/>
          <w:bCs/>
          <w:sz w:val="24"/>
        </w:rPr>
        <w:t>「</w:t>
      </w:r>
      <w:r w:rsidRPr="00443610">
        <w:rPr>
          <w:rFonts w:hint="eastAsia"/>
          <w:b/>
          <w:bCs/>
          <w:sz w:val="24"/>
        </w:rPr>
        <w:t>借りたのは１００万円であ</w:t>
      </w:r>
      <w:r>
        <w:rPr>
          <w:rFonts w:hint="eastAsia"/>
          <w:b/>
          <w:bCs/>
          <w:sz w:val="24"/>
        </w:rPr>
        <w:t>ること」との主張部分</w:t>
      </w:r>
    </w:p>
    <w:p w14:paraId="15A43958" w14:textId="77777777" w:rsidR="003E69CB" w:rsidRDefault="003E69CB" w:rsidP="003E69CB">
      <w:pPr>
        <w:ind w:firstLineChars="100" w:firstLine="231"/>
        <w:rPr>
          <w:sz w:val="24"/>
        </w:rPr>
      </w:pPr>
      <w:r w:rsidRPr="006747E6">
        <w:rPr>
          <w:rFonts w:hint="eastAsia"/>
          <w:sz w:val="24"/>
        </w:rPr>
        <w:t>第１段落目について否認する。</w:t>
      </w:r>
      <w:r>
        <w:rPr>
          <w:rFonts w:hint="eastAsia"/>
          <w:sz w:val="24"/>
        </w:rPr>
        <w:t>貸し付けた金額の合計は３００万円である。</w:t>
      </w:r>
    </w:p>
    <w:p w14:paraId="5838ACD3" w14:textId="77777777" w:rsidR="003E69CB" w:rsidRDefault="003E69CB" w:rsidP="003E69CB">
      <w:pPr>
        <w:ind w:firstLineChars="100" w:firstLine="231"/>
        <w:rPr>
          <w:sz w:val="24"/>
        </w:rPr>
      </w:pPr>
      <w:r w:rsidRPr="006747E6">
        <w:rPr>
          <w:rFonts w:hint="eastAsia"/>
          <w:sz w:val="24"/>
        </w:rPr>
        <w:t>第２段落目について、</w:t>
      </w:r>
      <w:r>
        <w:rPr>
          <w:rFonts w:hint="eastAsia"/>
          <w:sz w:val="24"/>
        </w:rPr>
        <w:t>令和７年１２月１０日に会ったことは認め、その余は否認する。</w:t>
      </w:r>
      <w:r w:rsidRPr="006747E6">
        <w:rPr>
          <w:rFonts w:hint="eastAsia"/>
          <w:sz w:val="24"/>
        </w:rPr>
        <w:t>原告は、令和７年１２月１０日、被告に対し、２００万円についても用意ができた</w:t>
      </w:r>
      <w:r>
        <w:rPr>
          <w:rFonts w:hint="eastAsia"/>
          <w:sz w:val="24"/>
        </w:rPr>
        <w:t>旨を伝えている。</w:t>
      </w:r>
    </w:p>
    <w:p w14:paraId="114AFBEA" w14:textId="7A742D6A" w:rsidR="003E69CB" w:rsidRDefault="003E69CB" w:rsidP="003E69CB">
      <w:pPr>
        <w:ind w:firstLineChars="100" w:firstLine="231"/>
        <w:rPr>
          <w:rFonts w:hint="eastAsia"/>
          <w:sz w:val="24"/>
        </w:rPr>
      </w:pPr>
      <w:r>
        <w:rPr>
          <w:rFonts w:hint="eastAsia"/>
          <w:sz w:val="24"/>
        </w:rPr>
        <w:t>第３段落目について、被告が</w:t>
      </w:r>
      <w:r w:rsidR="00B34C6C">
        <w:rPr>
          <w:rFonts w:hint="eastAsia"/>
          <w:sz w:val="24"/>
        </w:rPr>
        <w:t>令和７年１２月２０日に</w:t>
      </w:r>
      <w:r>
        <w:rPr>
          <w:rFonts w:hint="eastAsia"/>
          <w:sz w:val="24"/>
        </w:rPr>
        <w:t>他の友人に会ったことは不知であり、その余は否認する。</w:t>
      </w:r>
      <w:r w:rsidRPr="006747E6">
        <w:rPr>
          <w:rFonts w:hint="eastAsia"/>
          <w:sz w:val="24"/>
        </w:rPr>
        <w:t>原告は、令和７年１２月２０日、被告に対し、２００万円を手渡した</w:t>
      </w:r>
      <w:r>
        <w:rPr>
          <w:rFonts w:hint="eastAsia"/>
          <w:sz w:val="24"/>
        </w:rPr>
        <w:t>。</w:t>
      </w:r>
    </w:p>
    <w:p w14:paraId="04AEEAA5" w14:textId="77777777" w:rsidR="003E69CB" w:rsidRPr="00443610" w:rsidRDefault="003E69CB" w:rsidP="003E69CB">
      <w:pPr>
        <w:rPr>
          <w:b/>
          <w:bCs/>
          <w:sz w:val="24"/>
        </w:rPr>
      </w:pPr>
      <w:r w:rsidRPr="00443610">
        <w:rPr>
          <w:rFonts w:hint="eastAsia"/>
          <w:b/>
          <w:bCs/>
          <w:sz w:val="24"/>
        </w:rPr>
        <w:t xml:space="preserve">第２　</w:t>
      </w:r>
      <w:r>
        <w:rPr>
          <w:rFonts w:hint="eastAsia"/>
          <w:b/>
          <w:bCs/>
          <w:sz w:val="24"/>
        </w:rPr>
        <w:t>「</w:t>
      </w:r>
      <w:r w:rsidRPr="00443610">
        <w:rPr>
          <w:rFonts w:hint="eastAsia"/>
          <w:b/>
          <w:bCs/>
          <w:sz w:val="24"/>
        </w:rPr>
        <w:t>１００万円は弁済済みであること</w:t>
      </w:r>
      <w:r>
        <w:rPr>
          <w:rFonts w:hint="eastAsia"/>
          <w:b/>
          <w:bCs/>
          <w:sz w:val="24"/>
        </w:rPr>
        <w:t>」との主張部分</w:t>
      </w:r>
    </w:p>
    <w:p w14:paraId="456C7CFB" w14:textId="77777777" w:rsidR="003E69CB" w:rsidRDefault="003E69CB" w:rsidP="003E69CB">
      <w:pPr>
        <w:rPr>
          <w:sz w:val="24"/>
        </w:rPr>
      </w:pPr>
      <w:r>
        <w:rPr>
          <w:rFonts w:hint="eastAsia"/>
          <w:sz w:val="24"/>
        </w:rPr>
        <w:t xml:space="preserve">　１００万円が振り込まれたことは認め、その余は否認する。同１００万円の振り込みは、令和７年８月２９日に貸し付けた金銭の返還として振り込まれたものではない。</w:t>
      </w:r>
    </w:p>
    <w:p w14:paraId="45499889" w14:textId="77777777" w:rsidR="006747E6" w:rsidRPr="003E69CB" w:rsidRDefault="006747E6" w:rsidP="00666EAA">
      <w:pPr>
        <w:pStyle w:val="a3"/>
        <w:rPr>
          <w:rFonts w:ascii="ＭＳ 明朝" w:eastAsia="ＭＳ 明朝" w:hAnsi="ＭＳ 明朝"/>
          <w:b/>
          <w:bCs/>
          <w:sz w:val="24"/>
          <w:szCs w:val="24"/>
        </w:rPr>
      </w:pPr>
    </w:p>
    <w:p w14:paraId="2077AE5B" w14:textId="281842FA" w:rsidR="00666EAA" w:rsidRDefault="006747E6" w:rsidP="00666EAA">
      <w:pPr>
        <w:pStyle w:val="a3"/>
        <w:rPr>
          <w:rFonts w:ascii="ＭＳ 明朝" w:eastAsia="ＭＳ 明朝" w:hAnsi="ＭＳ 明朝"/>
          <w:b/>
          <w:bCs/>
          <w:sz w:val="24"/>
          <w:szCs w:val="24"/>
        </w:rPr>
      </w:pPr>
      <w:r>
        <w:rPr>
          <w:rFonts w:ascii="ＭＳ 明朝" w:eastAsia="ＭＳ 明朝" w:hAnsi="ＭＳ 明朝" w:hint="eastAsia"/>
          <w:b/>
          <w:bCs/>
          <w:sz w:val="24"/>
          <w:szCs w:val="24"/>
        </w:rPr>
        <w:lastRenderedPageBreak/>
        <w:t>原告</w:t>
      </w:r>
      <w:r w:rsidR="00666EAA" w:rsidRPr="00666EAA">
        <w:rPr>
          <w:rFonts w:ascii="ＭＳ 明朝" w:eastAsia="ＭＳ 明朝" w:hAnsi="ＭＳ 明朝" w:hint="eastAsia"/>
          <w:b/>
          <w:bCs/>
          <w:sz w:val="24"/>
          <w:szCs w:val="24"/>
        </w:rPr>
        <w:t>の主張</w:t>
      </w:r>
    </w:p>
    <w:p w14:paraId="4F5E5D19" w14:textId="60C5E7C9" w:rsidR="003E69CB" w:rsidRDefault="003E69CB" w:rsidP="003E69CB">
      <w:pPr>
        <w:ind w:left="231" w:hangingChars="100" w:hanging="231"/>
        <w:rPr>
          <w:sz w:val="24"/>
        </w:rPr>
      </w:pPr>
      <w:r>
        <w:rPr>
          <w:rFonts w:hint="eastAsia"/>
          <w:sz w:val="24"/>
        </w:rPr>
        <w:t xml:space="preserve">１　</w:t>
      </w:r>
      <w:r w:rsidRPr="003E69CB">
        <w:rPr>
          <w:sz w:val="24"/>
        </w:rPr>
        <w:t>被告は、原告から借り受けた金額は１００万円にすぎないと主張する</w:t>
      </w:r>
      <w:r>
        <w:rPr>
          <w:rFonts w:hint="eastAsia"/>
          <w:sz w:val="24"/>
        </w:rPr>
        <w:t>（答弁書２頁）</w:t>
      </w:r>
      <w:r w:rsidRPr="003E69CB">
        <w:rPr>
          <w:sz w:val="24"/>
        </w:rPr>
        <w:t>。</w:t>
      </w:r>
    </w:p>
    <w:p w14:paraId="4D5BA001" w14:textId="77777777" w:rsidR="003E69CB" w:rsidRDefault="003E69CB" w:rsidP="003E69CB">
      <w:pPr>
        <w:ind w:leftChars="100" w:left="201" w:firstLineChars="100" w:firstLine="231"/>
        <w:rPr>
          <w:sz w:val="24"/>
        </w:rPr>
      </w:pPr>
      <w:r w:rsidRPr="003E69CB">
        <w:rPr>
          <w:sz w:val="24"/>
        </w:rPr>
        <w:t>しかし、原告は令和７年８月２９日に１００万円を貸し付けた後も、被告から追加の資金準備を依頼され、令和７年１２月１０の面会において被告に対し２００万円の準備が整った旨を伝えている。その後、原告は令和７年１２月２０日に被告と面会し、封筒に入れた２００万円を直接手渡している。</w:t>
      </w:r>
    </w:p>
    <w:p w14:paraId="00148745" w14:textId="0091D4DA" w:rsidR="003E69CB" w:rsidRDefault="003E69CB" w:rsidP="003E69CB">
      <w:pPr>
        <w:ind w:left="231" w:hangingChars="100" w:hanging="231"/>
        <w:rPr>
          <w:sz w:val="24"/>
        </w:rPr>
      </w:pPr>
      <w:r>
        <w:rPr>
          <w:rFonts w:hint="eastAsia"/>
          <w:sz w:val="24"/>
        </w:rPr>
        <w:t xml:space="preserve">２　</w:t>
      </w:r>
      <w:r w:rsidRPr="003E69CB">
        <w:rPr>
          <w:sz w:val="24"/>
        </w:rPr>
        <w:t>被告は、令和７年１２月２０日は他の友人に会っていたため、原告から２００万円を受領していないと主張す</w:t>
      </w:r>
      <w:r>
        <w:rPr>
          <w:rFonts w:hint="eastAsia"/>
          <w:sz w:val="24"/>
        </w:rPr>
        <w:t>る（答弁書２頁）。</w:t>
      </w:r>
    </w:p>
    <w:p w14:paraId="7D2EB854" w14:textId="3CB1FE57" w:rsidR="003E69CB" w:rsidRDefault="003E69CB" w:rsidP="003E69CB">
      <w:pPr>
        <w:ind w:leftChars="100" w:left="201" w:firstLineChars="100" w:firstLine="231"/>
        <w:rPr>
          <w:sz w:val="24"/>
        </w:rPr>
      </w:pPr>
      <w:r w:rsidRPr="003E69CB">
        <w:rPr>
          <w:sz w:val="24"/>
        </w:rPr>
        <w:t>しかし、原告は当日、</w:t>
      </w:r>
      <w:r>
        <w:rPr>
          <w:rFonts w:hint="eastAsia"/>
          <w:sz w:val="24"/>
        </w:rPr>
        <w:t>横浜</w:t>
      </w:r>
      <w:r w:rsidRPr="003E69CB">
        <w:rPr>
          <w:sz w:val="24"/>
        </w:rPr>
        <w:t>市内の喫茶店において被告と面会し、２００万円を手渡している。被告が</w:t>
      </w:r>
      <w:r w:rsidR="00B34C6C">
        <w:rPr>
          <w:rFonts w:hint="eastAsia"/>
          <w:sz w:val="24"/>
        </w:rPr>
        <w:t>同面会の前又は後に</w:t>
      </w:r>
      <w:r w:rsidRPr="003E69CB">
        <w:rPr>
          <w:sz w:val="24"/>
        </w:rPr>
        <w:t>他の友人</w:t>
      </w:r>
      <w:r w:rsidR="00B34C6C">
        <w:rPr>
          <w:rFonts w:hint="eastAsia"/>
          <w:sz w:val="24"/>
        </w:rPr>
        <w:t>と</w:t>
      </w:r>
      <w:r w:rsidRPr="003E69CB">
        <w:rPr>
          <w:sz w:val="24"/>
        </w:rPr>
        <w:t>会ったかどうかは原告では知り得ないが、そのことは原告との面会および金銭授受の事実を左右するものではなく、受領を否定する理由にはならない。</w:t>
      </w:r>
    </w:p>
    <w:p w14:paraId="7599C778" w14:textId="77777777" w:rsidR="003E69CB" w:rsidRDefault="003E69CB" w:rsidP="003E69CB">
      <w:pPr>
        <w:rPr>
          <w:sz w:val="24"/>
        </w:rPr>
      </w:pPr>
      <w:r>
        <w:rPr>
          <w:rFonts w:hint="eastAsia"/>
          <w:sz w:val="24"/>
        </w:rPr>
        <w:t xml:space="preserve">３　</w:t>
      </w:r>
      <w:r w:rsidRPr="003E69CB">
        <w:rPr>
          <w:sz w:val="24"/>
        </w:rPr>
        <w:t>被告は、１００万円は既に弁済した</w:t>
      </w:r>
      <w:r>
        <w:rPr>
          <w:rFonts w:hint="eastAsia"/>
          <w:sz w:val="24"/>
        </w:rPr>
        <w:t>など</w:t>
      </w:r>
      <w:r w:rsidRPr="003E69CB">
        <w:rPr>
          <w:sz w:val="24"/>
        </w:rPr>
        <w:t>と主張する</w:t>
      </w:r>
      <w:r>
        <w:rPr>
          <w:rFonts w:hint="eastAsia"/>
          <w:sz w:val="24"/>
        </w:rPr>
        <w:t>（答弁書２頁）</w:t>
      </w:r>
      <w:r w:rsidRPr="003E69CB">
        <w:rPr>
          <w:sz w:val="24"/>
        </w:rPr>
        <w:t>。</w:t>
      </w:r>
    </w:p>
    <w:p w14:paraId="53E2B5AA" w14:textId="442F5F14" w:rsidR="003E69CB" w:rsidRDefault="003E69CB" w:rsidP="003E69CB">
      <w:pPr>
        <w:ind w:leftChars="100" w:left="201" w:firstLineChars="100" w:firstLine="231"/>
        <w:rPr>
          <w:sz w:val="24"/>
        </w:rPr>
      </w:pPr>
      <w:r>
        <w:rPr>
          <w:rFonts w:hint="eastAsia"/>
          <w:sz w:val="24"/>
        </w:rPr>
        <w:t>しかし、令和８年３月１４日の</w:t>
      </w:r>
      <w:r w:rsidRPr="003E69CB">
        <w:rPr>
          <w:sz w:val="24"/>
        </w:rPr>
        <w:t>振込は令和７年８月２９日の貸付金に対する返済ではなく、</w:t>
      </w:r>
      <w:r w:rsidRPr="003E69CB">
        <w:rPr>
          <w:rFonts w:hint="eastAsia"/>
          <w:sz w:val="24"/>
        </w:rPr>
        <w:t>被告が以前から負担していた原告との共同事業に関する経費精算として支払われたものであ</w:t>
      </w:r>
      <w:r>
        <w:rPr>
          <w:rFonts w:hint="eastAsia"/>
          <w:sz w:val="24"/>
        </w:rPr>
        <w:t>る（甲●）。</w:t>
      </w:r>
    </w:p>
    <w:p w14:paraId="58631537" w14:textId="0ABD12F5" w:rsidR="003E69CB" w:rsidRDefault="003E69CB" w:rsidP="003E69CB">
      <w:pPr>
        <w:ind w:leftChars="100" w:left="201" w:firstLineChars="100" w:firstLine="231"/>
        <w:rPr>
          <w:rFonts w:hint="eastAsia"/>
          <w:sz w:val="24"/>
        </w:rPr>
      </w:pPr>
      <w:r>
        <w:rPr>
          <w:rFonts w:hint="eastAsia"/>
          <w:sz w:val="24"/>
        </w:rPr>
        <w:t>そのため、</w:t>
      </w:r>
      <w:r w:rsidRPr="003E69CB">
        <w:rPr>
          <w:rFonts w:hint="eastAsia"/>
          <w:sz w:val="24"/>
        </w:rPr>
        <w:t>令和７年８月２９日に原告が貸し付けた１００万円の返済として行われたものではない。</w:t>
      </w:r>
    </w:p>
    <w:p w14:paraId="5E042E00" w14:textId="4FC33932" w:rsidR="00BF5B40" w:rsidRPr="00666EAA" w:rsidRDefault="006C7F1C" w:rsidP="003E69CB">
      <w:pPr>
        <w:jc w:val="right"/>
        <w:rPr>
          <w:sz w:val="24"/>
        </w:rPr>
      </w:pPr>
      <w:r>
        <w:rPr>
          <w:rFonts w:hint="eastAsia"/>
          <w:sz w:val="24"/>
        </w:rPr>
        <w:t>以上</w:t>
      </w:r>
    </w:p>
    <w:sectPr w:rsidR="00BF5B40" w:rsidRPr="00666EAA" w:rsidSect="00666EAA">
      <w:footerReference w:type="default" r:id="rId6"/>
      <w:pgSz w:w="11906" w:h="16838" w:code="9"/>
      <w:pgMar w:top="1985" w:right="1588" w:bottom="1701" w:left="1871" w:header="851" w:footer="992" w:gutter="0"/>
      <w:cols w:space="425"/>
      <w:docGrid w:type="linesAndChars" w:linePitch="505"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E9B" w14:textId="77777777" w:rsidR="00060F90" w:rsidRDefault="00060F90" w:rsidP="00666EAA">
      <w:r>
        <w:separator/>
      </w:r>
    </w:p>
  </w:endnote>
  <w:endnote w:type="continuationSeparator" w:id="0">
    <w:p w14:paraId="22A57571" w14:textId="77777777" w:rsidR="00060F90" w:rsidRDefault="00060F90" w:rsidP="0066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C4C5" w14:textId="1CA8629D" w:rsidR="00666EAA" w:rsidRPr="00236A28" w:rsidRDefault="00666EAA" w:rsidP="008D6706">
    <w:pPr>
      <w:pStyle w:val="ac"/>
      <w:jc w:val="center"/>
      <w:rPr>
        <w:sz w:val="24"/>
        <w:szCs w:val="24"/>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5672" w14:textId="77777777" w:rsidR="00060F90" w:rsidRDefault="00060F90" w:rsidP="00666EAA">
      <w:r>
        <w:separator/>
      </w:r>
    </w:p>
  </w:footnote>
  <w:footnote w:type="continuationSeparator" w:id="0">
    <w:p w14:paraId="2C8C213F" w14:textId="77777777" w:rsidR="00060F90" w:rsidRDefault="00060F90" w:rsidP="00666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AA"/>
    <w:rsid w:val="00006490"/>
    <w:rsid w:val="00023D74"/>
    <w:rsid w:val="00060F90"/>
    <w:rsid w:val="00341746"/>
    <w:rsid w:val="003651C2"/>
    <w:rsid w:val="003E69CB"/>
    <w:rsid w:val="00442679"/>
    <w:rsid w:val="00443610"/>
    <w:rsid w:val="004C44D2"/>
    <w:rsid w:val="00666EAA"/>
    <w:rsid w:val="006747E6"/>
    <w:rsid w:val="006C7F1C"/>
    <w:rsid w:val="007C1563"/>
    <w:rsid w:val="00841FAB"/>
    <w:rsid w:val="009B29BE"/>
    <w:rsid w:val="00A177D3"/>
    <w:rsid w:val="00AA6836"/>
    <w:rsid w:val="00B34C6C"/>
    <w:rsid w:val="00B80AA0"/>
    <w:rsid w:val="00BF5B40"/>
    <w:rsid w:val="00CB0C25"/>
    <w:rsid w:val="00CF365B"/>
    <w:rsid w:val="00D704E5"/>
    <w:rsid w:val="00D94619"/>
    <w:rsid w:val="00DB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E4D57"/>
  <w15:chartTrackingRefBased/>
  <w15:docId w15:val="{BEFF30E7-B2F4-4C75-B9B0-C22E14F7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EAA"/>
    <w:pPr>
      <w:widowControl w:val="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66EA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66EA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66EA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66EAA"/>
    <w:pPr>
      <w:keepNext/>
      <w:keepLines/>
      <w:spacing w:before="80" w:after="40"/>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66EAA"/>
    <w:pPr>
      <w:keepNext/>
      <w:keepLines/>
      <w:spacing w:before="80" w:after="40"/>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66EAA"/>
    <w:pPr>
      <w:keepNext/>
      <w:keepLines/>
      <w:spacing w:before="80" w:after="40"/>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66EAA"/>
    <w:pPr>
      <w:keepNext/>
      <w:keepLines/>
      <w:spacing w:before="80" w:after="40"/>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66EAA"/>
    <w:pPr>
      <w:keepNext/>
      <w:keepLines/>
      <w:spacing w:before="80" w:after="40"/>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66EAA"/>
    <w:pPr>
      <w:keepNext/>
      <w:keepLines/>
      <w:spacing w:before="80" w:after="40"/>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E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E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E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66E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E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E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E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E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E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EA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66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EA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66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EAA"/>
    <w:pPr>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66EAA"/>
    <w:rPr>
      <w:i/>
      <w:iCs/>
      <w:color w:val="404040" w:themeColor="text1" w:themeTint="BF"/>
    </w:rPr>
  </w:style>
  <w:style w:type="paragraph" w:styleId="a9">
    <w:name w:val="List Paragraph"/>
    <w:basedOn w:val="a"/>
    <w:uiPriority w:val="34"/>
    <w:qFormat/>
    <w:rsid w:val="00666EAA"/>
    <w:pPr>
      <w:ind w:left="720"/>
      <w:contextualSpacing/>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66EAA"/>
    <w:rPr>
      <w:i/>
      <w:iCs/>
      <w:color w:val="0F4761" w:themeColor="accent1" w:themeShade="BF"/>
    </w:rPr>
  </w:style>
  <w:style w:type="paragraph" w:styleId="22">
    <w:name w:val="Intense Quote"/>
    <w:basedOn w:val="a"/>
    <w:next w:val="a"/>
    <w:link w:val="23"/>
    <w:uiPriority w:val="30"/>
    <w:qFormat/>
    <w:rsid w:val="00666E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66EAA"/>
    <w:rPr>
      <w:i/>
      <w:iCs/>
      <w:color w:val="0F4761" w:themeColor="accent1" w:themeShade="BF"/>
    </w:rPr>
  </w:style>
  <w:style w:type="character" w:styleId="24">
    <w:name w:val="Intense Reference"/>
    <w:basedOn w:val="a0"/>
    <w:uiPriority w:val="32"/>
    <w:qFormat/>
    <w:rsid w:val="00666EAA"/>
    <w:rPr>
      <w:b/>
      <w:bCs/>
      <w:smallCaps/>
      <w:color w:val="0F4761" w:themeColor="accent1" w:themeShade="BF"/>
      <w:spacing w:val="5"/>
    </w:rPr>
  </w:style>
  <w:style w:type="paragraph" w:styleId="aa">
    <w:name w:val="Date"/>
    <w:basedOn w:val="a"/>
    <w:next w:val="a"/>
    <w:link w:val="ab"/>
    <w:rsid w:val="00666EAA"/>
    <w:rPr>
      <w:kern w:val="0"/>
      <w:sz w:val="24"/>
      <w:szCs w:val="24"/>
      <w:lang w:val="fr-FR" w:eastAsia="x-none"/>
    </w:rPr>
  </w:style>
  <w:style w:type="character" w:customStyle="1" w:styleId="ab">
    <w:name w:val="日付 (文字)"/>
    <w:basedOn w:val="a0"/>
    <w:link w:val="aa"/>
    <w:rsid w:val="00666EAA"/>
    <w:rPr>
      <w:rFonts w:ascii="Century" w:eastAsia="ＭＳ 明朝" w:hAnsi="Century" w:cs="Times New Roman"/>
      <w:kern w:val="0"/>
      <w:sz w:val="24"/>
      <w:szCs w:val="24"/>
      <w:lang w:val="fr-FR" w:eastAsia="x-none"/>
      <w14:ligatures w14:val="none"/>
    </w:rPr>
  </w:style>
  <w:style w:type="paragraph" w:styleId="ac">
    <w:name w:val="footer"/>
    <w:basedOn w:val="a"/>
    <w:link w:val="ad"/>
    <w:uiPriority w:val="99"/>
    <w:unhideWhenUsed/>
    <w:rsid w:val="00666EAA"/>
    <w:pPr>
      <w:tabs>
        <w:tab w:val="center" w:pos="4252"/>
        <w:tab w:val="right" w:pos="8504"/>
      </w:tabs>
      <w:snapToGrid w:val="0"/>
    </w:pPr>
    <w:rPr>
      <w:lang w:val="x-none" w:eastAsia="x-none"/>
    </w:rPr>
  </w:style>
  <w:style w:type="character" w:customStyle="1" w:styleId="ad">
    <w:name w:val="フッター (文字)"/>
    <w:basedOn w:val="a0"/>
    <w:link w:val="ac"/>
    <w:uiPriority w:val="99"/>
    <w:rsid w:val="00666EAA"/>
    <w:rPr>
      <w:rFonts w:ascii="Century" w:eastAsia="ＭＳ 明朝" w:hAnsi="Century" w:cs="Times New Roman"/>
      <w:sz w:val="21"/>
      <w:lang w:val="x-none" w:eastAsia="x-none"/>
      <w14:ligatures w14:val="none"/>
    </w:rPr>
  </w:style>
  <w:style w:type="paragraph" w:styleId="ae">
    <w:name w:val="header"/>
    <w:basedOn w:val="a"/>
    <w:link w:val="af"/>
    <w:uiPriority w:val="99"/>
    <w:unhideWhenUsed/>
    <w:rsid w:val="00666EAA"/>
    <w:pPr>
      <w:tabs>
        <w:tab w:val="center" w:pos="4252"/>
        <w:tab w:val="right" w:pos="8504"/>
      </w:tabs>
      <w:snapToGrid w:val="0"/>
    </w:pPr>
  </w:style>
  <w:style w:type="character" w:customStyle="1" w:styleId="af">
    <w:name w:val="ヘッダー (文字)"/>
    <w:basedOn w:val="a0"/>
    <w:link w:val="ae"/>
    <w:uiPriority w:val="99"/>
    <w:rsid w:val="00666EAA"/>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15</cp:revision>
  <cp:lastPrinted>2025-10-27T04:57:00Z</cp:lastPrinted>
  <dcterms:created xsi:type="dcterms:W3CDTF">2025-08-16T06:22:00Z</dcterms:created>
  <dcterms:modified xsi:type="dcterms:W3CDTF">2025-12-06T02:03:00Z</dcterms:modified>
</cp:coreProperties>
</file>